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CC" w:rsidRDefault="00AD42CC"/>
    <w:p w:rsidR="00AD42CC" w:rsidRDefault="00A425AB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такое конфликт интересов?</w:t>
      </w:r>
    </w:p>
    <w:p w:rsidR="00AD42CC" w:rsidRDefault="00AD42C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AD42CC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Понятие «конфликт интересов» установлено статьей 10 Федерального закона от 25.12.2008 № 273-ФЗ «О противодействии коррупции» и представляет собой ситуацию, при которой личная заинтересованность (прямая или косвенная) лица, </w:t>
      </w:r>
      <w:r>
        <w:rPr>
          <w:rFonts w:ascii="Times New Roman" w:hAnsi="Times New Roman"/>
          <w:sz w:val="28"/>
        </w:rPr>
        <w:t>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</w:t>
      </w:r>
      <w:r>
        <w:rPr>
          <w:rFonts w:ascii="Times New Roman" w:hAnsi="Times New Roman"/>
          <w:sz w:val="28"/>
        </w:rPr>
        <w:t>остей (осуществление полномочий).</w:t>
      </w:r>
      <w:proofErr w:type="gramEnd"/>
    </w:p>
    <w:p w:rsidR="00AD42CC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>
        <w:rPr>
          <w:rFonts w:ascii="Times New Roman" w:hAnsi="Times New Roman"/>
          <w:sz w:val="28"/>
        </w:rPr>
        <w:t>имуществ) лицом, указанным в части 1 названной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>
        <w:rPr>
          <w:rFonts w:ascii="Times New Roman" w:hAnsi="Times New Roman"/>
          <w:sz w:val="28"/>
        </w:rPr>
        <w:t>), гражданами</w:t>
      </w:r>
      <w:r>
        <w:rPr>
          <w:rFonts w:ascii="Times New Roman" w:hAnsi="Times New Roman"/>
          <w:sz w:val="28"/>
        </w:rPr>
        <w:t xml:space="preserve"> или организациями, с которыми лицо, указанное в части 1 данной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AD42CC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Как показывает практика, в основе любого коррупцион</w:t>
      </w:r>
      <w:r>
        <w:rPr>
          <w:rFonts w:ascii="Times New Roman" w:hAnsi="Times New Roman"/>
          <w:sz w:val="28"/>
        </w:rPr>
        <w:t xml:space="preserve">ного правонарушения находится конфликт интересов лиц, занимающих публичные должности в системе государственного управления и обладающих в связи с предоставленными им государством полномочиями соответствующим влиянием, которое может быть использовано ими в </w:t>
      </w:r>
      <w:r>
        <w:rPr>
          <w:rFonts w:ascii="Times New Roman" w:hAnsi="Times New Roman"/>
          <w:sz w:val="28"/>
        </w:rPr>
        <w:t>личных интересах, в том числе вопреки интересам государства.</w:t>
      </w:r>
      <w:proofErr w:type="gramEnd"/>
    </w:p>
    <w:p w:rsidR="00AD42CC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Основой правового регулирования конфликта интересов в любой сфере правоотношений является установление обязанности принимать меры по недопущению возможности возникновения конфликта интересов.</w:t>
      </w:r>
    </w:p>
    <w:p w:rsidR="00AD42CC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</w:t>
      </w:r>
      <w:r>
        <w:rPr>
          <w:rFonts w:ascii="Times New Roman" w:hAnsi="Times New Roman"/>
          <w:sz w:val="28"/>
        </w:rPr>
        <w:t>оответствии со статьей 11 Федерального закона «О противодействии коррупции» государственные и муниципальные служащие обязаны принимать меры по недопущению любой возможности возникновения конфликта интересов, а также обязаны уведомить в порядке, определенно</w:t>
      </w:r>
      <w:r>
        <w:rPr>
          <w:rFonts w:ascii="Times New Roman" w:hAnsi="Times New Roman"/>
          <w:sz w:val="28"/>
        </w:rPr>
        <w:t>м работодателем, о возникшем конфликте интересов или о возможности его возникновения, как только станет об этом известно.</w:t>
      </w:r>
    </w:p>
    <w:p w:rsidR="00AD42CC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свою очередь представитель нанимателя (работодателя), если ему стало известно о возникновении у должностного лица личной заинтересов</w:t>
      </w:r>
      <w:r>
        <w:rPr>
          <w:rFonts w:ascii="Times New Roman" w:hAnsi="Times New Roman"/>
          <w:sz w:val="28"/>
        </w:rPr>
        <w:t>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A425AB" w:rsidRDefault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Непринятия лицом, являющимся стороной конфликта интересов, мер по предотвращению или урегулированию конфликта </w:t>
      </w:r>
      <w:r>
        <w:rPr>
          <w:rFonts w:ascii="Times New Roman" w:hAnsi="Times New Roman"/>
          <w:sz w:val="28"/>
        </w:rPr>
        <w:t xml:space="preserve">интересов является </w:t>
      </w:r>
      <w:r>
        <w:rPr>
          <w:rFonts w:ascii="Times New Roman" w:hAnsi="Times New Roman"/>
          <w:sz w:val="28"/>
        </w:rPr>
        <w:lastRenderedPageBreak/>
        <w:t>правонарушением, влекущим увольнение указанного лица в соответствии с законодательством Российской Федерации.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lastRenderedPageBreak/>
        <w:br w:type="page"/>
      </w:r>
    </w:p>
    <w:p w:rsidR="00A425AB" w:rsidRDefault="00A425AB" w:rsidP="00A425AB"/>
    <w:p w:rsidR="00A425AB" w:rsidRDefault="00A425AB" w:rsidP="00A425AB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Утверждены признаки неиспользования земельных участков из состава земель населенных пунктов, садовых земельных участков и огородных земельных участков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вступит в законную силу Признаки неиспользования земельных участков из состава земель населенных пунктов, садовых земельных участков и огородных земельных участков, утвержденных постановление Правительства Российской Федерации от 31.05.2025 № 826.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признаками неиспользования земельных участков из состава земель населенных пунктов, за исключением земельных участков, правовой режим которых не предусматривает строительство и эксплуатацию зданий, сооружений, приусадебных, садовых и огородных земельных участков, помимо прочего, являются (необходимо наличие хотя бы одного из указанных признаков):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а) захламление более чем 50 процентов площади земельного участка предметами,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участка отходами производства и потребления, в том числе твердыми коммунальными отходами, при условии невыполнения работ по освобождению земельного участка от таких предметов или отходов производства и потребления, в том числе твердых коммунальных</w:t>
      </w:r>
      <w:proofErr w:type="gramEnd"/>
      <w:r>
        <w:rPr>
          <w:rFonts w:ascii="Times New Roman" w:hAnsi="Times New Roman"/>
          <w:sz w:val="28"/>
        </w:rPr>
        <w:t xml:space="preserve"> отходов, в течение одного года и более со дня выявления указанных обстоятельств;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б) отсутствие на земельном участке, правовой режим которого предусматривает строительство и размещение зданий, сооружений (за исключением земельного участка, предназначенного для индивидуального жилищного строительства), в течение 5 и более лет здания, сооружения, для строительства которых предназначен земельный участок, права на которые (либо на любое помещение или </w:t>
      </w:r>
      <w:proofErr w:type="spellStart"/>
      <w:r>
        <w:rPr>
          <w:rFonts w:ascii="Times New Roman" w:hAnsi="Times New Roman"/>
          <w:sz w:val="28"/>
        </w:rPr>
        <w:t>машино-место</w:t>
      </w:r>
      <w:proofErr w:type="spellEnd"/>
      <w:r>
        <w:rPr>
          <w:rFonts w:ascii="Times New Roman" w:hAnsi="Times New Roman"/>
          <w:sz w:val="28"/>
        </w:rPr>
        <w:t xml:space="preserve"> в них) зарегистрированы в соответствии с законом, за исключением случаев, когда соответствующие права не</w:t>
      </w:r>
      <w:proofErr w:type="gramEnd"/>
      <w:r>
        <w:rPr>
          <w:rFonts w:ascii="Times New Roman" w:hAnsi="Times New Roman"/>
          <w:sz w:val="28"/>
        </w:rPr>
        <w:t xml:space="preserve"> подлежат государственной регистрации либо признаются юридически действительными при отсутствии их государственной регистрации в Едином государственном реестре недвижимости в соответствии с законом, если  не установлен иной срок;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в) отсутствие на земельном участке, предназначенном для индивидуального жилищного строительства, в течение 7 и более лет индивидуального жилого дома, право на который зарегистрировано в соответствии с законом, за исключением случаев, если судом установлено, что правообладатель земельного участка не смог завершить строительство индивидуального жилого дома в связи с действиями (бездействием) органов государственной власти, органов местного самоуправления или лиц, осуществляющих эксплуатацию сетей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инженернотехническогообеспечения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которым должен быть подключен (технологически присоединен) индивидуальный жилой дом;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г) наличие на земельном участке не являющихся самовольными постройками зданий, сооружений, у которых в совокупности разрушены крыша, стены, отсутствуют окна или стекла на окнах, при условии, что правообладатель земельного участка не приступил к выполнению работ по устранению указанных обстоятельств в течение одного года и более со дня их выявления, за исключением случаев, когда такие объекты капитального строительства признаны аварийными  и</w:t>
      </w:r>
      <w:proofErr w:type="gramEnd"/>
      <w:r>
        <w:rPr>
          <w:rFonts w:ascii="Times New Roman" w:hAnsi="Times New Roman"/>
          <w:sz w:val="28"/>
        </w:rPr>
        <w:t xml:space="preserve"> подлежащими сносу или реконструкции.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действия вышеуказанного постановления ограничено до 1 сентября 2031 года.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/>
    <w:p w:rsidR="00A425AB" w:rsidRDefault="00A425AB" w:rsidP="00A425AB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Установлена продолжительность рабочего времени педагогов в школах и колледжах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 1 сентября 2025 года нововведения, установленные приказом Министерства просвещения Российской Федерации от 04.04.2025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 профессиональным программам, основным программам профессионального обучения, и о Порядке определения учебной нагрузки указанных</w:t>
      </w:r>
      <w:proofErr w:type="gramEnd"/>
      <w:r>
        <w:rPr>
          <w:rFonts w:ascii="Times New Roman" w:hAnsi="Times New Roman"/>
          <w:sz w:val="28"/>
        </w:rPr>
        <w:t xml:space="preserve">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коснуться определения продолжительности рабочего времени или нормы часов педагогической работы за ставку заработной платы педагогическим работникам в зависимости от их должности и (или) специальности.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в частности, продолжительность рабочего времени 36 часов в неделю устанавливается: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старшим воспитателям организаций, осуществляющих образовательную деятельность по образовательным программам  дошкольного образования и дополнительным общеобразовательным программам, а также домов ребенка, осуществляющих образовательную деятельность в качестве дополнительного вида деятельности;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педагогам-психологам;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социальным педагогам;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педагогам-организаторам;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мастерам производственного обучения;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методистам и старшим методистам;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советникам директора по воспитанию и взаимодействию с детскими общественными объединениями и др.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этим определены категории работников, продолжительность рабочего времени которых будет составлять 18, 20, 24, 25, 30 часов.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документом утвержден порядок определения учебной нагрузки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СПО и соответствующим дополнительным профессиональным программам, основным программам профессионального обучения, оговариваемой в трудовом договоре, основания ее изменения и случаи установления верхнего предела указанной учебной нагрузки.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 реестр должников по алиментам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 25 мая 2025 года вступил в силу Федеральный закон от 29.05.2025 № 114-ФЗ «О внесении изменений в Федеральный закон «Об исполнительном производстве», касающийся систематизации сведений о должниках по алиментным платежам.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Так, сведения о должниках по уплате алиментов (назначенных по реше6нию суда либо по нотариальному удостоверенному соглашению), которые привлечены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родителей, а также объявленных судебным приставом в розыск, должны вносится в реестр должников по алиментным обязательствам.</w:t>
      </w:r>
      <w:proofErr w:type="gramEnd"/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Должников по алиментам будут информировать о включении сведений о них в соответствующий реестр должников, а также об исключении из него.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Данные сохраняются в реестре до полного погашения долга. Если обязательства выполнены, запись удаляется в течение суток. Исключение также происходит при прекращении производства — например, в случае смерти должника или признания его без вести </w:t>
      </w:r>
      <w:proofErr w:type="gramStart"/>
      <w:r>
        <w:rPr>
          <w:rFonts w:ascii="Times New Roman" w:hAnsi="Times New Roman"/>
          <w:sz w:val="28"/>
        </w:rPr>
        <w:t>пропавшим</w:t>
      </w:r>
      <w:proofErr w:type="gramEnd"/>
      <w:r>
        <w:rPr>
          <w:rFonts w:ascii="Times New Roman" w:hAnsi="Times New Roman"/>
          <w:sz w:val="28"/>
        </w:rPr>
        <w:t>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Указанный реестр будет формироваться Федеральной службой судебных приставов Российской Федерации в открытом доступе на официальном сайте государственного органа.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Введена административная ответственность за продажу несовершеннолетним безалкогольного тонизирующего напитка (в том числе энергетического)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Согласно ст. 2 Федерального закона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для предотвращения воздействия безалкогольных тонизирующих напитков (в том числе энергетических) на здоровье несовершеннолетних организациям, индивидуальным предпринимателям, крестьянским (фермерским) хозяйствам без образования юридического</w:t>
      </w:r>
      <w:proofErr w:type="gramEnd"/>
      <w:r>
        <w:rPr>
          <w:rFonts w:ascii="Times New Roman" w:hAnsi="Times New Roman"/>
          <w:sz w:val="28"/>
        </w:rPr>
        <w:t xml:space="preserve"> лица, гражданам Российской Федерации, иностранным гражданам и лицам без гражданства запрещается продажа несовершеннолетним безалкогольных тонизирующих напитков (в том числе энергетических).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07.06.2025 № 149-ФЗ введена статья 14.16.1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РФ, устанавливающая ответственность за нарушение запрета продажи вышеуказанной продукции несовершеннолетним.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продажу несовершеннолетнему безалкогольного тонизирующего напитка предусмотрено административное наказание в виде наложения административного штрафа на граждан в размере от 30 тыс. до 50 тыс. рублей; на должностных лиц - от 100 тыс. до 200 тыс. рублей; на юридических лиц - от 300 тыс. до 500 тыс. рублей.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Рассмотрение дел об административных правонарушениях, предусмотренных ст. 14.16.1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РФ, отнесено к компетенции органов исполнительной власти субъектов РФ, осуществляющих региональный государственный контроль (надзор) в области продажи безалкогольных тонизирующих напитков.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79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 вид уголовного преследования клеветы</w:t>
      </w: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07.06.2025 № 146-ФЗ «О внесении изменений в статью 20 Уголовно-процессуального кодекса Российской Федерации» изменен вид уголовного преследования по ст. 128.1 УК РФ «Клевета».</w:t>
      </w: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 имеют право требовать опровержения ложных сведений, а также защиты в судебном порядке.</w:t>
      </w: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7 июня 2025 года распространение заведомо </w:t>
      </w:r>
      <w:proofErr w:type="gramStart"/>
      <w:r>
        <w:rPr>
          <w:rFonts w:ascii="Times New Roman" w:hAnsi="Times New Roman"/>
          <w:sz w:val="28"/>
        </w:rPr>
        <w:t>ложных сведений, порочащих честь и достоинство другого лица или подрывающих его репутацию относятся</w:t>
      </w:r>
      <w:proofErr w:type="gramEnd"/>
      <w:r>
        <w:rPr>
          <w:rFonts w:ascii="Times New Roman" w:hAnsi="Times New Roman"/>
          <w:sz w:val="28"/>
        </w:rPr>
        <w:t xml:space="preserve"> к категории дел </w:t>
      </w:r>
      <w:proofErr w:type="spellStart"/>
      <w:r>
        <w:rPr>
          <w:rFonts w:ascii="Times New Roman" w:hAnsi="Times New Roman"/>
          <w:sz w:val="28"/>
        </w:rPr>
        <w:t>частно-публичного</w:t>
      </w:r>
      <w:proofErr w:type="spellEnd"/>
      <w:r>
        <w:rPr>
          <w:rFonts w:ascii="Times New Roman" w:hAnsi="Times New Roman"/>
          <w:sz w:val="28"/>
        </w:rPr>
        <w:t xml:space="preserve"> обвинения, которые возбуждаются по заявлению потерпевшего или его законного представителя, но прекращению в связи с примирением потерпевшего с обвиняемым не подлежат.</w:t>
      </w: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вступления в силу указанного закона противоправные действия носили характер частного обвинения, позволяющий примириться сторонам вплоть до удаления суда в совещательную комнату для постановления приговора.</w:t>
      </w:r>
    </w:p>
    <w:p w:rsidR="00A425AB" w:rsidRDefault="00A425AB" w:rsidP="00A425AB">
      <w:pPr>
        <w:spacing w:after="0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уголовное дело возбуждается по заявлению потерпевшего в территориальных органах дознания, а не в мировом судебном участке.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/>
    <w:p w:rsidR="00A425AB" w:rsidRDefault="00A425AB" w:rsidP="00A425AB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Какая уголовная ответственность предусмотрена за невыплату заработной платы?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Невыплата заработной платы – это существенное нарушение конституционного права, предусматривающего получение вознаграждения каждого работающего человека за свой труд, влекущее за собой уголовную ответственность по статье 145.1 Уголовного кодекса Российской Федерации (далее – УК РФ).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Норма вышеуказанной статьи предусматривает наличие трех самостоятельных составов преступления. Уголовная ответственность по части 1 данной статьи наступает в случае частичной невыплаты заработной платы свыше 3 месяцев в сумме менее половины от положенного работнику, а по части 2 – полной невыплаты либо оплаты в </w:t>
      </w:r>
      <w:proofErr w:type="gramStart"/>
      <w:r>
        <w:rPr>
          <w:rFonts w:ascii="Times New Roman" w:hAnsi="Times New Roman"/>
          <w:sz w:val="28"/>
        </w:rPr>
        <w:t>размере</w:t>
      </w:r>
      <w:proofErr w:type="gramEnd"/>
      <w:r>
        <w:rPr>
          <w:rFonts w:ascii="Times New Roman" w:hAnsi="Times New Roman"/>
          <w:sz w:val="28"/>
        </w:rPr>
        <w:t xml:space="preserve"> ниже установленного минимального размера оплаты труда свыше 2 месяцев.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полного погашения задолженности по заработной плате в течение 2 месяцев со дня возбуждения уголовного дела с выплатой потерпевшим денежной компенсации виновное лицо, впервые совершившее преступление, предусмотренное частями 1 и 2 статьи 145.1 УК РФ, освобождается от уголовной ответственности. </w:t>
      </w:r>
      <w:proofErr w:type="gramStart"/>
      <w:r>
        <w:rPr>
          <w:rFonts w:ascii="Times New Roman" w:hAnsi="Times New Roman"/>
          <w:sz w:val="28"/>
        </w:rPr>
        <w:t>Содеянное</w:t>
      </w:r>
      <w:proofErr w:type="gramEnd"/>
      <w:r>
        <w:rPr>
          <w:rFonts w:ascii="Times New Roman" w:hAnsi="Times New Roman"/>
          <w:sz w:val="28"/>
        </w:rPr>
        <w:t xml:space="preserve"> квалифицируется по части 3 статьи 145.1 УК РФ, если при наличии одного из указанных в части 1 или 2 статьи 145.1 УК РФ условий дополнительно наступили тяжкие последствия.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 условием наступления уголовной ответственности по данной статье является наличие у работодателя финансовой возможности для выплат или неправомерные умышленные действия виновного лица, направленные на устранение (сокрытие) такой возможности. Данное преступление совершается работодателем из корыстной или иной личной заинтересованности.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Сроки задержки выплат исчисляются со дня, следующего за датой, установленной для их получения, определенной трудовым договором. За совершение рассматриваемого преступления в зависимости от тяжести содеянного предусмотрено </w:t>
      </w:r>
      <w:proofErr w:type="gramStart"/>
      <w:r>
        <w:rPr>
          <w:rFonts w:ascii="Times New Roman" w:hAnsi="Times New Roman"/>
          <w:sz w:val="28"/>
        </w:rPr>
        <w:t>наказание</w:t>
      </w:r>
      <w:proofErr w:type="gramEnd"/>
      <w:r>
        <w:rPr>
          <w:rFonts w:ascii="Times New Roman" w:hAnsi="Times New Roman"/>
          <w:sz w:val="28"/>
        </w:rPr>
        <w:t xml:space="preserve"> как в виде штрафа, так и в виде лишения свободы сроком до 5 лет.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Каков срок давности привлечения гражданского служащего к дисциплинарной ответственности за коррупционные </w:t>
      </w:r>
      <w:proofErr w:type="gramStart"/>
      <w:r>
        <w:rPr>
          <w:rFonts w:ascii="Times New Roman" w:hAnsi="Times New Roman"/>
          <w:sz w:val="28"/>
        </w:rPr>
        <w:t>правонарушения</w:t>
      </w:r>
      <w:proofErr w:type="gramEnd"/>
      <w:r>
        <w:rPr>
          <w:rFonts w:ascii="Times New Roman" w:hAnsi="Times New Roman"/>
          <w:sz w:val="28"/>
        </w:rPr>
        <w:t xml:space="preserve"> и </w:t>
      </w:r>
      <w:proofErr w:type="gramStart"/>
      <w:r>
        <w:rPr>
          <w:rFonts w:ascii="Times New Roman" w:hAnsi="Times New Roman"/>
          <w:sz w:val="28"/>
        </w:rPr>
        <w:t>какие</w:t>
      </w:r>
      <w:proofErr w:type="gramEnd"/>
      <w:r>
        <w:rPr>
          <w:rFonts w:ascii="Times New Roman" w:hAnsi="Times New Roman"/>
          <w:sz w:val="28"/>
        </w:rPr>
        <w:t xml:space="preserve"> виды дисциплинарной ответственности существуют?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ч. 3 ст. 59.3 Федерального закона от 27.07.2004 № 79-ФЗ «О государственной гражданской службе Российской Федерации» (далее – Федеральный закон № 79-ФЗ) взыскание, применяется не позднее шести месяцев со дня поступления информации о совершении гражданским служащим коррупционного правонарушения, не считая периодов временной нетрудоспособности гражданского служащего, пребывания его в отпуске, других случаев отсутствия его на службе по уважительным причинам, и не</w:t>
      </w:r>
      <w:proofErr w:type="gramEnd"/>
      <w:r>
        <w:rPr>
          <w:rFonts w:ascii="Times New Roman" w:hAnsi="Times New Roman"/>
          <w:sz w:val="28"/>
        </w:rPr>
        <w:t xml:space="preserve">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1 ст. 59.1 Федерального закона № 79-ФЗ 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законами в целях противодействия коррупции, налагаются следующие взыскания: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замечание;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выговор;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предупреждение о неполном должностном соответствии.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силу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1 ст. 59.2 Федерального закона № 79-ФЗ гражданский служащий подлежит увольнению в связи с утратой доверия в случае: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непринятия гражданским служащим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осуществления гражданским служащим предпринимательской деятельности;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вхождения гражданского служащего в состав органов управления, попечительских или наблюдательных советов, иных органов иностранных </w:t>
      </w:r>
      <w:r>
        <w:rPr>
          <w:rFonts w:ascii="Times New Roman" w:hAnsi="Times New Roman"/>
          <w:sz w:val="28"/>
        </w:rPr>
        <w:lastRenderedPageBreak/>
        <w:t>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за исключением случаев, установленных федеральными законами.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>
      <w:pPr>
        <w:spacing w:after="0"/>
        <w:ind w:firstLine="850"/>
        <w:jc w:val="center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предоставления стандартных налоговых вычетов на детей в 2025 году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Работники, на обеспечении которых есть дети, имеют право на стандартный налоговый вычет, который позволяет ежемесячно уменьшать сумму НДФЛ, </w:t>
      </w:r>
      <w:proofErr w:type="gramStart"/>
      <w:r>
        <w:rPr>
          <w:rFonts w:ascii="Times New Roman" w:hAnsi="Times New Roman"/>
          <w:sz w:val="28"/>
        </w:rPr>
        <w:t>удерживаемого</w:t>
      </w:r>
      <w:proofErr w:type="gramEnd"/>
      <w:r>
        <w:rPr>
          <w:rFonts w:ascii="Times New Roman" w:hAnsi="Times New Roman"/>
          <w:sz w:val="28"/>
        </w:rPr>
        <w:t xml:space="preserve"> из их заработной платы.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вычета на детей зависит от того, какой по счету ребенок, а также от состояния здоровья детей (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>. 4 п. 1 ст. 218 НК РФ). Статус отношений с ребенком (родной или приемный родитель, супруг родителя, усыновитель, опекун или попечитель) не влияет на размер вычета.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начала 2025 года увеличены размеры стандартного налогового вычета по НДФЛ. Так, на второго ребенка он составляет 2 800 рублей, на третьего и каждого последующего - 6 тыс. рублей. Также опекунам и попечителям, если ребенок является инвалидом I или II группы, вычет предоставляется в размере 12 тыс. рублей.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положен родителю (опекуну, попечителю) за каждый месяц календарного года, может получать до того месяца, пока его общий доход (за исключением дивидендов, полученных резидентами РФ) с начала года не превысит 450 тыс. рублей. Налоговый вычет производится на каждого ребенка в возрасте до 18 лет, а также на каждого учащегося очной формы обучения, аспиранта, ординатора, интерна, студента, курсанта в возрасте до 24 лет.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Налоговый вычет производится на каждого ребенка или подопечного, </w:t>
      </w:r>
      <w:proofErr w:type="gramStart"/>
      <w:r>
        <w:rPr>
          <w:rFonts w:ascii="Times New Roman" w:hAnsi="Times New Roman"/>
          <w:sz w:val="28"/>
        </w:rPr>
        <w:t>признанных</w:t>
      </w:r>
      <w:proofErr w:type="gramEnd"/>
      <w:r>
        <w:rPr>
          <w:rFonts w:ascii="Times New Roman" w:hAnsi="Times New Roman"/>
          <w:sz w:val="28"/>
        </w:rPr>
        <w:t xml:space="preserve"> судом недееспособными, вне зависимости от их возраста.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Стандартный налоговый вычет предоставляется в двойном размере, если работник является единственным родителем (приемным родителем), усыновителем, опекуном попечителем. Его использование прекращается с месяца, следующего за месяцем вступления такого родителя в брак.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 двойном размере такой вычет может предоставляться одному из родителей (приемных родителей) по их выбору на основании заявления об отказе второго родителя (приемного родителя) от его получения.</w:t>
      </w:r>
    </w:p>
    <w:p w:rsidR="00A425AB" w:rsidRDefault="00A425AB" w:rsidP="00A425AB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не обязан подавать заявление о предоставлении стандартного вычета на ребенка. Для получения вычета необходимо предоставить только подтверждающие документы (свидетельства о рождении, сведения об инвалидности, усыновлении и т.д.).</w:t>
      </w:r>
    </w:p>
    <w:p w:rsidR="00A425AB" w:rsidRDefault="00A425A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425AB" w:rsidRDefault="00A425AB" w:rsidP="00A425AB"/>
    <w:p w:rsidR="00A425AB" w:rsidRDefault="00A425AB" w:rsidP="00A425AB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вступают в силу Правила организации деятельности организаций социального обслуживания, их структурных подразделений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организаций социального обслуживания осуществляется в соответствии с Федеральным законом от 28.12.2013            № 442-ФЗ «Об основах социального обслуживания граждан в Российской Федерации», Гражданским кодексом Российской Федерации и иными законодательными и нормативными правовыми актами федерального и регионального уровней.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Правилами, утвержденными Приказом министерства труда и социальной защиты Российской Федерации от 14.05.2025 № 305н, установлен порядок деятельности субъектов социального обслуживания и их структурных подразделений, предоставляющих социальные услуги в сфере социального обслуживания, рекомендуемые нормативы штатной численности и перечень необходимого оборудования для оснащения организаций социального обслуживания (их структурных подразделений), оказывающих социальные услуги в стационарной форме.</w:t>
      </w:r>
      <w:proofErr w:type="gramEnd"/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Социальное обслуживание осуществляется юридическими лицами независимо от их организационно-правовой формы и (или) индивидуальными предпринимателями, осуществляющими деятельность по предоставлению социальных услуг, предусматривающую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потребности.</w:t>
      </w:r>
      <w:proofErr w:type="gramEnd"/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индивидуальных потребностей в организациях социального обслуживания предоставляются социально-бытовые, социально-медицинские, социально-психологические, социально-педагогические, социально-трудовые, социально-правовые, срочные социальные услуги и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A425AB" w:rsidRDefault="00A425AB" w:rsidP="00A425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приказ действует до 1 сентября 2031 года.</w:t>
      </w:r>
    </w:p>
    <w:p w:rsidR="00A425AB" w:rsidRDefault="00A425AB">
      <w:pPr>
        <w:rPr>
          <w:rFonts w:ascii="Times New Roman" w:hAnsi="Times New Roman"/>
          <w:sz w:val="28"/>
        </w:rPr>
      </w:pPr>
    </w:p>
    <w:p w:rsidR="00AD42CC" w:rsidRDefault="00AD42C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AD42CC" w:rsidSect="00AD42C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42CC"/>
    <w:rsid w:val="00A425AB"/>
    <w:rsid w:val="00AD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D42CC"/>
  </w:style>
  <w:style w:type="paragraph" w:styleId="10">
    <w:name w:val="heading 1"/>
    <w:next w:val="a"/>
    <w:link w:val="11"/>
    <w:uiPriority w:val="9"/>
    <w:qFormat/>
    <w:rsid w:val="00AD42C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D42C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D42C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D42C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D42C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D42CC"/>
  </w:style>
  <w:style w:type="paragraph" w:styleId="21">
    <w:name w:val="toc 2"/>
    <w:next w:val="a"/>
    <w:link w:val="22"/>
    <w:uiPriority w:val="39"/>
    <w:rsid w:val="00AD42C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D42C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D42C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D42C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D42C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D42C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D42C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D42CC"/>
    <w:rPr>
      <w:rFonts w:ascii="XO Thames" w:hAnsi="XO Thames"/>
      <w:sz w:val="28"/>
    </w:rPr>
  </w:style>
  <w:style w:type="paragraph" w:customStyle="1" w:styleId="Endnote">
    <w:name w:val="Endnote"/>
    <w:link w:val="Endnote0"/>
    <w:rsid w:val="00AD42C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D42C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D42CC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AD42CC"/>
  </w:style>
  <w:style w:type="paragraph" w:styleId="31">
    <w:name w:val="toc 3"/>
    <w:next w:val="a"/>
    <w:link w:val="32"/>
    <w:uiPriority w:val="39"/>
    <w:rsid w:val="00AD42C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D42C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D42C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D42CC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D42CC"/>
    <w:rPr>
      <w:color w:val="0000FF"/>
      <w:u w:val="single"/>
    </w:rPr>
  </w:style>
  <w:style w:type="character" w:styleId="a3">
    <w:name w:val="Hyperlink"/>
    <w:link w:val="13"/>
    <w:rsid w:val="00AD42CC"/>
    <w:rPr>
      <w:color w:val="0000FF"/>
      <w:u w:val="single"/>
    </w:rPr>
  </w:style>
  <w:style w:type="paragraph" w:customStyle="1" w:styleId="Footnote">
    <w:name w:val="Footnote"/>
    <w:link w:val="Footnote0"/>
    <w:rsid w:val="00AD42C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D42C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D42C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D42C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D42C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D42C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D42C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D42C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D42C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D42C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D42C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D42C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D42CC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D42C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D42C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AD42C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D42C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D42C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3144</Words>
  <Characters>17921</Characters>
  <Application>Microsoft Office Word</Application>
  <DocSecurity>0</DocSecurity>
  <Lines>149</Lines>
  <Paragraphs>42</Paragraphs>
  <ScaleCrop>false</ScaleCrop>
  <Company/>
  <LinksUpToDate>false</LinksUpToDate>
  <CharactersWithSpaces>21023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МАДОУ</cp:lastModifiedBy>
  <cp:revision>2</cp:revision>
  <dcterms:created xsi:type="dcterms:W3CDTF">2025-07-01T09:19:00Z</dcterms:created>
  <dcterms:modified xsi:type="dcterms:W3CDTF">2025-07-01T09:19:00Z</dcterms:modified>
</cp:coreProperties>
</file>